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楷体" w:hAnsi="楷体" w:eastAsia="楷体" w:cs="楷体"/>
          <w:b/>
          <w:bCs/>
          <w:sz w:val="44"/>
          <w:szCs w:val="44"/>
          <w:lang w:eastAsia="zh-CN"/>
        </w:rPr>
      </w:pPr>
      <w:bookmarkStart w:id="0" w:name="_GoBack"/>
      <w:bookmarkEnd w:id="0"/>
      <w:r>
        <w:rPr>
          <w:sz w:val="44"/>
          <w:szCs w:val="22"/>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-135890</wp:posOffset>
                </wp:positionV>
                <wp:extent cx="822325" cy="432435"/>
                <wp:effectExtent l="0" t="0" r="15875" b="5715"/>
                <wp:wrapNone/>
                <wp:docPr id="2" name="文本框 2"/>
                <wp:cNvGraphicFramePr/>
                <a:graphic xmlns:a="http://schemas.openxmlformats.org/drawingml/2006/main">
                  <a:graphicData uri="http://schemas.microsoft.com/office/word/2010/wordprocessingShape">
                    <wps:wsp>
                      <wps:cNvSpPr txBox="1"/>
                      <wps:spPr>
                        <a:xfrm>
                          <a:off x="1148080" y="633730"/>
                          <a:ext cx="822325" cy="4324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24"/>
                                <w:szCs w:val="32"/>
                                <w:lang w:eastAsia="zh-CN"/>
                              </w:rPr>
                            </w:pPr>
                            <w:r>
                              <w:rPr>
                                <w:rFonts w:hint="eastAsia" w:ascii="黑体" w:hAnsi="黑体" w:eastAsia="黑体" w:cs="黑体"/>
                                <w:sz w:val="24"/>
                                <w:szCs w:val="32"/>
                                <w:lang w:eastAsia="zh-CN"/>
                              </w:rPr>
                              <w:t>附件</w:t>
                            </w:r>
                            <w:r>
                              <w:rPr>
                                <w:rFonts w:hint="eastAsia" w:ascii="黑体" w:hAnsi="黑体" w:eastAsia="黑体" w:cs="黑体"/>
                                <w:sz w:val="24"/>
                                <w:szCs w:val="32"/>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pt;margin-top:-10.7pt;height:34.05pt;width:64.75pt;z-index:251658240;mso-width-relative:page;mso-height-relative:page;" fillcolor="#FFFFFF [3201]" filled="t" stroked="f" coordsize="21600,21600" o:gfxdata="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K0m1F1AAAAAgBAAAPAAAAAAAAAAEAIAAAACIAAABkcnMvZG93&#10;bnJldi54bWxQSwECFAAUAAAACACHTuJAu0JNdD0CAABLBAAADgAAAAAAAAABACAAAAAjAQAAZHJz&#10;L2Uyb0RvYy54bWxQSwUGAAAAAAYABgBZAQAA0gUAAAAA&#10;">
                <v:fill on="t" focussize="0,0"/>
                <v:stroke on="f" weight="0.5pt"/>
                <v:imagedata o:title=""/>
                <o:lock v:ext="edit" aspectratio="f"/>
                <v:textbox>
                  <w:txbxContent>
                    <w:p>
                      <w:pPr>
                        <w:rPr>
                          <w:rFonts w:hint="eastAsia" w:ascii="黑体" w:hAnsi="黑体" w:eastAsia="黑体" w:cs="黑体"/>
                          <w:sz w:val="24"/>
                          <w:szCs w:val="32"/>
                          <w:lang w:eastAsia="zh-CN"/>
                        </w:rPr>
                      </w:pPr>
                      <w:r>
                        <w:rPr>
                          <w:rFonts w:hint="eastAsia" w:ascii="黑体" w:hAnsi="黑体" w:eastAsia="黑体" w:cs="黑体"/>
                          <w:sz w:val="24"/>
                          <w:szCs w:val="32"/>
                          <w:lang w:eastAsia="zh-CN"/>
                        </w:rPr>
                        <w:t>附件</w:t>
                      </w:r>
                      <w:r>
                        <w:rPr>
                          <w:rFonts w:hint="eastAsia" w:ascii="黑体" w:hAnsi="黑体" w:eastAsia="黑体" w:cs="黑体"/>
                          <w:sz w:val="24"/>
                          <w:szCs w:val="32"/>
                          <w:lang w:val="en-US" w:eastAsia="zh-CN"/>
                        </w:rPr>
                        <w:t>1</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500" w:lineRule="exact"/>
        <w:jc w:val="center"/>
        <w:textAlignment w:val="auto"/>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楷体" w:hAnsi="楷体" w:eastAsia="楷体" w:cs="楷体"/>
          <w:b/>
          <w:bCs/>
          <w:sz w:val="44"/>
          <w:szCs w:val="44"/>
        </w:rPr>
        <w:t>海外远程视频公证办证须知</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jc w:val="both"/>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为深入贯彻落实党中央、国务院“放管服”改革决策部署，在常态化疫情防控背景下有力有序推动复工复产，推进海外中国公民办理公证“最多跑一次”，中国驻外使领馆</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（下称“试点馆”）及</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中国签证申请服务中心</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（下称“签证中心”）</w:t>
      </w:r>
      <w:r>
        <w:rPr>
          <w:rFonts w:hint="eastAsia" w:asciiTheme="minorEastAsia" w:hAnsiTheme="minorEastAsia" w:eastAsiaTheme="minorEastAsia" w:cstheme="minorEastAsia"/>
          <w:color w:val="000000" w:themeColor="text1"/>
          <w:sz w:val="28"/>
          <w:szCs w:val="28"/>
          <w:shd w:val="clear" w:color="auto" w:fill="FFFFFF"/>
          <w:lang w:eastAsia="zh-CN"/>
          <w14:textFill>
            <w14:solidFill>
              <w14:schemeClr w14:val="tx1"/>
            </w14:solidFill>
          </w14:textFill>
        </w:rPr>
        <w:t>与</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国内公证</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机构（下称“公证机构”）</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合作试点，推出海外远程视频公证办证</w:t>
      </w:r>
      <w:r>
        <w:rPr>
          <w:rFonts w:hint="eastAsia" w:asciiTheme="minorEastAsia" w:hAnsiTheme="minorEastAsia" w:cstheme="minorEastAsia"/>
          <w:color w:val="000000" w:themeColor="text1"/>
          <w:sz w:val="28"/>
          <w:szCs w:val="28"/>
          <w:shd w:val="clear" w:color="auto" w:fill="FFFFFF"/>
          <w:lang w:val="en-US" w:eastAsia="zh-CN"/>
          <w14:textFill>
            <w14:solidFill>
              <w14:schemeClr w14:val="tx1"/>
            </w14:solidFill>
          </w14:textFill>
        </w:rPr>
        <w:t>方</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式，用信息化手段</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便利</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海外中国公民办理公证事务。我们将尽力做到让您“网上办、就近办、一次办”，为您提供高效便捷、普惠均等的公证服务</w:t>
      </w:r>
      <w:r>
        <w:rPr>
          <w:rFonts w:hint="eastAsia" w:asciiTheme="minorEastAsia" w:hAnsiTheme="minorEastAsia" w:eastAsiaTheme="minorEastAsia" w:cstheme="minorEastAsia"/>
          <w:color w:val="000000" w:themeColor="text1"/>
          <w:sz w:val="28"/>
          <w:szCs w:val="28"/>
          <w:shd w:val="clear" w:color="auto" w:fill="FFFFFF"/>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在您办理海外远程视频公证</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前</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，请认真阅读本</w:t>
      </w:r>
      <w:r>
        <w:rPr>
          <w:rFonts w:hint="eastAsia" w:asciiTheme="minorEastAsia" w:hAnsiTheme="minorEastAsia" w:eastAsiaTheme="minorEastAsia" w:cstheme="minorEastAsia"/>
          <w:color w:val="000000" w:themeColor="text1"/>
          <w:spacing w:val="-6"/>
          <w:sz w:val="28"/>
          <w:szCs w:val="28"/>
          <w:shd w:val="clear" w:color="auto" w:fill="FFFFFF"/>
          <w14:textFill>
            <w14:solidFill>
              <w14:schemeClr w14:val="tx1"/>
            </w14:solidFill>
          </w14:textFill>
        </w:rPr>
        <w:t>须知的全部内容：</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jc w:val="both"/>
        <w:textAlignment w:val="auto"/>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一、注意事项</w:t>
      </w: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br w:type="textWrapping"/>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 xml:space="preserve">    当事人申请办理海外远程视频公证</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应同时符合以下条件：</w:t>
      </w: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00" w:lineRule="exact"/>
        <w:ind w:firstLine="420" w:firstLineChars="150"/>
        <w:jc w:val="both"/>
        <w:textAlignment w:val="auto"/>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具有中华人民共和国国籍</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的大陆地区居民</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w:t>
      </w: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00" w:lineRule="exact"/>
        <w:ind w:firstLine="420" w:firstLineChars="150"/>
        <w:jc w:val="both"/>
        <w:textAlignment w:val="auto"/>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在试点馆所在国长期</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居住</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w:t>
      </w: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00" w:lineRule="exact"/>
        <w:ind w:firstLine="420" w:firstLineChars="150"/>
        <w:jc w:val="both"/>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公证书</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拟</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在国内使用</w:t>
      </w:r>
      <w:r>
        <w:rPr>
          <w:rFonts w:hint="eastAsia" w:asciiTheme="minorEastAsia" w:hAnsiTheme="minorEastAsia" w:eastAsiaTheme="minorEastAsia" w:cstheme="minorEastAsia"/>
          <w:color w:val="000000" w:themeColor="text1"/>
          <w:sz w:val="28"/>
          <w:szCs w:val="28"/>
          <w:shd w:val="clear" w:color="auto" w:fill="FFFFFF"/>
          <w:lang w:eastAsia="zh-CN"/>
          <w14:textFill>
            <w14:solidFill>
              <w14:schemeClr w14:val="tx1"/>
            </w14:solidFill>
          </w14:textFill>
        </w:rPr>
        <w:t>，</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公证事项系试点馆无法办理的，且</w:t>
      </w:r>
      <w:r>
        <w:rPr>
          <w:rFonts w:hint="eastAsia" w:asciiTheme="minorEastAsia" w:hAnsiTheme="minorEastAsia" w:eastAsiaTheme="minorEastAsia" w:cstheme="minorEastAsia"/>
          <w:color w:val="000000" w:themeColor="text1"/>
          <w:sz w:val="28"/>
          <w:szCs w:val="28"/>
          <w:shd w:val="clear" w:color="auto" w:fill="FFFFFF"/>
          <w:lang w:eastAsia="zh-CN"/>
          <w14:textFill>
            <w14:solidFill>
              <w14:schemeClr w14:val="tx1"/>
            </w14:solidFill>
          </w14:textFill>
        </w:rPr>
        <w:t>当事人自愿选择</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海外远程视频公证；</w:t>
      </w: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00" w:lineRule="exact"/>
        <w:ind w:firstLine="420" w:firstLineChars="150"/>
        <w:jc w:val="both"/>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不违反相关法律法规及其他禁止性规定。</w:t>
      </w:r>
    </w:p>
    <w:p>
      <w:pPr>
        <w:pStyle w:val="5"/>
        <w:keepNext w:val="0"/>
        <w:keepLines w:val="0"/>
        <w:pageBreakBefore w:val="0"/>
        <w:widowControl/>
        <w:tabs>
          <w:tab w:val="left" w:pos="630"/>
          <w:tab w:val="left" w:pos="840"/>
        </w:tabs>
        <w:kinsoku/>
        <w:wordWrap/>
        <w:overflowPunct/>
        <w:topLinePunct w:val="0"/>
        <w:autoSpaceDE/>
        <w:autoSpaceDN/>
        <w:bidi w:val="0"/>
        <w:adjustRightInd/>
        <w:snapToGrid/>
        <w:spacing w:beforeAutospacing="0" w:afterAutospacing="0" w:line="500" w:lineRule="exact"/>
        <w:ind w:left="15" w:leftChars="7" w:firstLine="403" w:firstLineChars="144"/>
        <w:jc w:val="both"/>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有下列情形之一的，公证机构不予办理海外远程视频公证：</w:t>
      </w:r>
    </w:p>
    <w:p>
      <w:pPr>
        <w:pStyle w:val="5"/>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00" w:lineRule="exact"/>
        <w:ind w:left="0" w:firstLine="420" w:firstLineChars="150"/>
        <w:jc w:val="both"/>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无民事行为能力人或者限制民事行为能力人没有监护人代理申请办理海外远程视频公证的；</w:t>
      </w:r>
    </w:p>
    <w:p>
      <w:pPr>
        <w:pStyle w:val="5"/>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00" w:lineRule="exact"/>
        <w:ind w:left="0" w:firstLine="420" w:firstLineChars="150"/>
        <w:jc w:val="both"/>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当事人与申请公证的事项没有利害关系的；</w:t>
      </w:r>
    </w:p>
    <w:p>
      <w:pPr>
        <w:pStyle w:val="5"/>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00" w:lineRule="exact"/>
        <w:ind w:left="0" w:firstLine="402" w:firstLineChars="150"/>
        <w:jc w:val="both"/>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pacing w:val="-6"/>
          <w:sz w:val="28"/>
          <w:szCs w:val="28"/>
          <w14:textFill>
            <w14:solidFill>
              <w14:schemeClr w14:val="tx1"/>
            </w14:solidFill>
          </w14:textFill>
        </w:rPr>
        <w:t>当事人之间对申请海外远程视频公证的事项有争议的；</w:t>
      </w:r>
    </w:p>
    <w:p>
      <w:pPr>
        <w:pStyle w:val="5"/>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00" w:lineRule="exact"/>
        <w:ind w:left="0" w:firstLine="420" w:firstLineChars="150"/>
        <w:jc w:val="both"/>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当事人虚构、隐瞒事实，或者提供虚假证明材料的；</w:t>
      </w:r>
    </w:p>
    <w:p>
      <w:pPr>
        <w:pStyle w:val="5"/>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00" w:lineRule="exact"/>
        <w:ind w:left="0" w:firstLine="420" w:firstLineChars="150"/>
        <w:jc w:val="both"/>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当事人提供的证明材料不充分又无法补充，或者拒绝补充证明材料的；</w:t>
      </w:r>
    </w:p>
    <w:p>
      <w:pPr>
        <w:pStyle w:val="5"/>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00" w:lineRule="exact"/>
        <w:ind w:left="0" w:firstLine="420" w:firstLineChars="150"/>
        <w:jc w:val="both"/>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申请海外远程视频公证的事项不真实、不合法的；</w:t>
      </w:r>
    </w:p>
    <w:p>
      <w:pPr>
        <w:pStyle w:val="5"/>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00" w:lineRule="exact"/>
        <w:ind w:left="0" w:firstLine="420" w:firstLineChars="150"/>
        <w:jc w:val="both"/>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申请海外远程视频公证的事项违背社会公德的；</w:t>
      </w:r>
    </w:p>
    <w:p>
      <w:pPr>
        <w:pStyle w:val="5"/>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00" w:lineRule="exact"/>
        <w:ind w:left="0" w:firstLine="402" w:firstLineChars="150"/>
        <w:jc w:val="both"/>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pacing w:val="-6"/>
          <w:sz w:val="28"/>
          <w:szCs w:val="28"/>
          <w14:textFill>
            <w14:solidFill>
              <w14:schemeClr w14:val="tx1"/>
            </w14:solidFill>
          </w14:textFill>
        </w:rPr>
        <w:t>当事人拒绝按规定</w:t>
      </w:r>
      <w:r>
        <w:rPr>
          <w:rFonts w:hint="eastAsia" w:asciiTheme="minorEastAsia" w:hAnsiTheme="minorEastAsia" w:cstheme="minorEastAsia"/>
          <w:color w:val="000000" w:themeColor="text1"/>
          <w:spacing w:val="-6"/>
          <w:sz w:val="28"/>
          <w:szCs w:val="28"/>
          <w:lang w:eastAsia="zh-CN"/>
          <w14:textFill>
            <w14:solidFill>
              <w14:schemeClr w14:val="tx1"/>
            </w14:solidFill>
          </w14:textFill>
        </w:rPr>
        <w:t>交纳</w:t>
      </w:r>
      <w:r>
        <w:rPr>
          <w:rFonts w:hint="eastAsia" w:asciiTheme="minorEastAsia" w:hAnsiTheme="minorEastAsia" w:eastAsiaTheme="minorEastAsia" w:cstheme="minorEastAsia"/>
          <w:color w:val="000000" w:themeColor="text1"/>
          <w:spacing w:val="-6"/>
          <w:sz w:val="28"/>
          <w:szCs w:val="28"/>
          <w14:textFill>
            <w14:solidFill>
              <w14:schemeClr w14:val="tx1"/>
            </w14:solidFill>
          </w14:textFill>
        </w:rPr>
        <w:t>公证费的；</w:t>
      </w:r>
    </w:p>
    <w:p>
      <w:pPr>
        <w:pStyle w:val="5"/>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00" w:lineRule="exact"/>
        <w:ind w:left="0" w:firstLine="420" w:firstLineChars="150"/>
        <w:jc w:val="both"/>
        <w:textAlignment w:val="auto"/>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其他不适合办理海外远程视频公证的情形</w:t>
      </w:r>
      <w:r>
        <w:rPr>
          <w:rFonts w:hint="eastAsia" w:asciiTheme="minorEastAsia" w:hAnsiTheme="minorEastAsia" w:cstheme="minorEastAsia"/>
          <w:color w:val="000000" w:themeColor="text1"/>
          <w:sz w:val="28"/>
          <w:szCs w:val="28"/>
          <w:lang w:eastAsia="zh-CN"/>
          <w14:textFill>
            <w14:solidFill>
              <w14:schemeClr w14:val="tx1"/>
            </w14:solidFill>
          </w14:textFill>
        </w:rPr>
        <w:t>。</w:t>
      </w:r>
    </w:p>
    <w:p>
      <w:pPr>
        <w:pStyle w:val="5"/>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500" w:lineRule="exact"/>
        <w:ind w:left="559" w:leftChars="266" w:firstLine="0" w:firstLineChars="0"/>
        <w:jc w:val="both"/>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相关规定</w:t>
      </w:r>
    </w:p>
    <w:p>
      <w:pPr>
        <w:pStyle w:val="5"/>
        <w:keepNext w:val="0"/>
        <w:keepLines w:val="0"/>
        <w:pageBreakBefore w:val="0"/>
        <w:widowControl/>
        <w:numPr>
          <w:ilvl w:val="-1"/>
          <w:numId w:val="0"/>
        </w:numPr>
        <w:kinsoku/>
        <w:wordWrap/>
        <w:overflowPunct/>
        <w:topLinePunct w:val="0"/>
        <w:autoSpaceDE/>
        <w:autoSpaceDN/>
        <w:bidi w:val="0"/>
        <w:adjustRightInd/>
        <w:snapToGrid/>
        <w:spacing w:beforeAutospacing="0" w:afterAutospacing="0" w:line="500" w:lineRule="exact"/>
        <w:ind w:left="0" w:leftChars="0" w:firstLine="560" w:firstLineChars="200"/>
        <w:jc w:val="both"/>
        <w:textAlignment w:val="auto"/>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（一）您向公证</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机构</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申办公证，应如实告知、填写所申办</w:t>
      </w:r>
      <w:r>
        <w:rPr>
          <w:rFonts w:hint="eastAsia" w:asciiTheme="minorEastAsia" w:hAnsiTheme="minorEastAsia" w:eastAsiaTheme="minorEastAsia" w:cstheme="minorEastAsia"/>
          <w:color w:val="000000" w:themeColor="text1"/>
          <w:spacing w:val="-6"/>
          <w:sz w:val="28"/>
          <w:szCs w:val="28"/>
          <w:shd w:val="clear" w:color="auto" w:fill="FFFFFF"/>
          <w14:textFill>
            <w14:solidFill>
              <w14:schemeClr w14:val="tx1"/>
            </w14:solidFill>
          </w14:textFill>
        </w:rPr>
        <w:t>公证事项的有关情况，所上传的证明材料必须真实、合法、充分。</w:t>
      </w:r>
    </w:p>
    <w:p>
      <w:pPr>
        <w:pStyle w:val="5"/>
        <w:keepNext w:val="0"/>
        <w:keepLines w:val="0"/>
        <w:pageBreakBefore w:val="0"/>
        <w:widowControl/>
        <w:numPr>
          <w:ilvl w:val="-1"/>
          <w:numId w:val="0"/>
        </w:numPr>
        <w:kinsoku/>
        <w:wordWrap/>
        <w:overflowPunct/>
        <w:topLinePunct w:val="0"/>
        <w:autoSpaceDE/>
        <w:autoSpaceDN/>
        <w:bidi w:val="0"/>
        <w:adjustRightInd/>
        <w:snapToGrid/>
        <w:spacing w:beforeAutospacing="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pacing w:val="-6"/>
          <w:sz w:val="28"/>
          <w:szCs w:val="28"/>
          <w:shd w:val="clear" w:color="auto" w:fill="FFFFFF"/>
          <w14:textFill>
            <w14:solidFill>
              <w14:schemeClr w14:val="tx1"/>
            </w14:solidFill>
          </w14:textFill>
        </w:rPr>
      </w:pP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（二）</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对您所填写的与公证事项有关的信息，以及所上传的证明材料，公证</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机构</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将及时通过政务信息资源共享的形式依法进行核实</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如果因您不如实填写申请公证事项的信息、上传的证明材料不真实、不合法，或因条件所限无法核实到有关信息的，公证</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机构</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将不予办理。</w:t>
      </w:r>
    </w:p>
    <w:p>
      <w:pPr>
        <w:pStyle w:val="5"/>
        <w:keepNext w:val="0"/>
        <w:keepLines w:val="0"/>
        <w:pageBreakBefore w:val="0"/>
        <w:widowControl/>
        <w:numPr>
          <w:ilvl w:val="-1"/>
          <w:numId w:val="0"/>
        </w:numPr>
        <w:kinsoku/>
        <w:wordWrap/>
        <w:overflowPunct/>
        <w:topLinePunct w:val="0"/>
        <w:autoSpaceDE/>
        <w:autoSpaceDN/>
        <w:bidi w:val="0"/>
        <w:adjustRightInd/>
        <w:snapToGrid/>
        <w:spacing w:beforeAutospacing="0" w:afterAutospacing="0" w:line="500" w:lineRule="exact"/>
        <w:ind w:firstLine="536" w:firstLineChars="200"/>
        <w:jc w:val="both"/>
        <w:textAlignment w:val="auto"/>
        <w:rPr>
          <w:rFonts w:hint="eastAsia" w:asciiTheme="minorEastAsia" w:hAnsiTheme="minorEastAsia" w:eastAsiaTheme="minorEastAsia" w:cstheme="minorEastAsia"/>
          <w:color w:val="000000" w:themeColor="text1"/>
          <w:spacing w:val="-6"/>
          <w:sz w:val="28"/>
          <w:szCs w:val="28"/>
          <w:shd w:val="clear" w:color="auto" w:fill="FFFFFF"/>
          <w14:textFill>
            <w14:solidFill>
              <w14:schemeClr w14:val="tx1"/>
            </w14:solidFill>
          </w14:textFill>
        </w:rPr>
      </w:pPr>
      <w:r>
        <w:rPr>
          <w:rFonts w:hint="eastAsia" w:asciiTheme="minorEastAsia" w:hAnsiTheme="minorEastAsia" w:cstheme="minorEastAsia"/>
          <w:color w:val="000000" w:themeColor="text1"/>
          <w:spacing w:val="-6"/>
          <w:sz w:val="28"/>
          <w:szCs w:val="28"/>
          <w:shd w:val="clear" w:color="auto" w:fill="FFFFFF"/>
          <w:lang w:eastAsia="zh-CN"/>
          <w14:textFill>
            <w14:solidFill>
              <w14:schemeClr w14:val="tx1"/>
            </w14:solidFill>
          </w14:textFill>
        </w:rPr>
        <w:t>（三）</w:t>
      </w:r>
      <w:r>
        <w:rPr>
          <w:rFonts w:hint="eastAsia" w:asciiTheme="minorEastAsia" w:hAnsiTheme="minorEastAsia" w:eastAsiaTheme="minorEastAsia" w:cstheme="minorEastAsia"/>
          <w:color w:val="000000" w:themeColor="text1"/>
          <w:spacing w:val="-6"/>
          <w:sz w:val="28"/>
          <w:szCs w:val="28"/>
          <w:shd w:val="clear" w:color="auto" w:fill="FFFFFF"/>
          <w14:textFill>
            <w14:solidFill>
              <w14:schemeClr w14:val="tx1"/>
            </w14:solidFill>
          </w14:textFill>
        </w:rPr>
        <w:t>请您按照公证收费标准的规定</w:t>
      </w:r>
      <w:r>
        <w:rPr>
          <w:rFonts w:hint="eastAsia" w:asciiTheme="minorEastAsia" w:hAnsiTheme="minorEastAsia" w:cstheme="minorEastAsia"/>
          <w:color w:val="000000" w:themeColor="text1"/>
          <w:spacing w:val="-6"/>
          <w:sz w:val="28"/>
          <w:szCs w:val="28"/>
          <w:shd w:val="clear" w:color="auto" w:fill="FFFFFF"/>
          <w:lang w:eastAsia="zh-CN"/>
          <w14:textFill>
            <w14:solidFill>
              <w14:schemeClr w14:val="tx1"/>
            </w14:solidFill>
          </w14:textFill>
        </w:rPr>
        <w:t>交纳</w:t>
      </w:r>
      <w:r>
        <w:rPr>
          <w:rFonts w:hint="eastAsia" w:asciiTheme="minorEastAsia" w:hAnsiTheme="minorEastAsia" w:eastAsiaTheme="minorEastAsia" w:cstheme="minorEastAsia"/>
          <w:color w:val="000000" w:themeColor="text1"/>
          <w:spacing w:val="-6"/>
          <w:sz w:val="28"/>
          <w:szCs w:val="28"/>
          <w:shd w:val="clear" w:color="auto" w:fill="FFFFFF"/>
          <w14:textFill>
            <w14:solidFill>
              <w14:schemeClr w14:val="tx1"/>
            </w14:solidFill>
          </w14:textFill>
        </w:rPr>
        <w:t>公证费及其他可能产生的费用：公证书翻译费、申请公证的文书翻译费、副本费等。</w:t>
      </w:r>
      <w:r>
        <w:rPr>
          <w:rFonts w:hint="eastAsia" w:asciiTheme="minorEastAsia" w:hAnsiTheme="minorEastAsia" w:cstheme="minorEastAsia"/>
          <w:color w:val="000000" w:themeColor="text1"/>
          <w:spacing w:val="-6"/>
          <w:sz w:val="28"/>
          <w:szCs w:val="28"/>
          <w:shd w:val="clear" w:color="auto" w:fill="FFFFFF"/>
          <w:lang w:eastAsia="zh-CN"/>
          <w14:textFill>
            <w14:solidFill>
              <w14:schemeClr w14:val="tx1"/>
            </w14:solidFill>
          </w14:textFill>
        </w:rPr>
        <w:t>试点馆不就海外远程视频公证收取任何费用。在</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签证中心</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办理的，需向</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签证中心</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支付服务费</w:t>
      </w:r>
      <w:r>
        <w:rPr>
          <w:rFonts w:hint="eastAsia" w:asciiTheme="minorEastAsia" w:hAnsiTheme="minorEastAsia" w:cstheme="minorEastAsia"/>
          <w:b w:val="0"/>
          <w:bCs w:val="0"/>
          <w:color w:val="000000" w:themeColor="text1"/>
          <w:sz w:val="28"/>
          <w:szCs w:val="28"/>
          <w:shd w:val="clear" w:color="auto" w:fill="FFFFFF"/>
          <w:lang w:eastAsia="zh-CN"/>
          <w14:textFill>
            <w14:solidFill>
              <w14:schemeClr w14:val="tx1"/>
            </w14:solidFill>
          </w14:textFill>
        </w:rPr>
        <w:t>（该服务费不在公证收费标准范围）</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w:t>
      </w:r>
    </w:p>
    <w:p>
      <w:pPr>
        <w:pStyle w:val="5"/>
        <w:keepNext w:val="0"/>
        <w:keepLines w:val="0"/>
        <w:pageBreakBefore w:val="0"/>
        <w:widowControl/>
        <w:numPr>
          <w:ilvl w:val="-1"/>
          <w:numId w:val="0"/>
        </w:numPr>
        <w:kinsoku/>
        <w:wordWrap/>
        <w:overflowPunct/>
        <w:topLinePunct w:val="0"/>
        <w:autoSpaceDE/>
        <w:autoSpaceDN/>
        <w:bidi w:val="0"/>
        <w:adjustRightInd/>
        <w:snapToGrid/>
        <w:spacing w:beforeAutospacing="0" w:afterAutospacing="0"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（四）</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在您操作完成申请流程后，请</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务必</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保持手机畅通，以便我们能及时与您取得联系。</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如果您选择继续采用海外远程视频公证方式申办公证，即视为您自愿申办海外远程视频公证，已阅读、理解、知晓</w:t>
      </w:r>
      <w:r>
        <w:rPr>
          <w:rFonts w:hint="eastAsia" w:asciiTheme="minorEastAsia" w:hAnsiTheme="minorEastAsia" w:cstheme="minorEastAsia"/>
          <w:color w:val="000000" w:themeColor="text1"/>
          <w:sz w:val="28"/>
          <w:szCs w:val="28"/>
          <w:shd w:val="clear" w:color="auto" w:fill="FFFFFF"/>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认可本须知中每一项内容，并愿意接受相应规则的约束，自行承担由此引发的一切法律责任和后果，免除试点馆</w:t>
      </w:r>
      <w:r>
        <w:rPr>
          <w:rFonts w:hint="eastAsia" w:asciiTheme="minorEastAsia" w:hAnsiTheme="minorEastAsia" w:cstheme="minorEastAsia"/>
          <w:color w:val="000000" w:themeColor="text1"/>
          <w:sz w:val="28"/>
          <w:szCs w:val="28"/>
          <w:shd w:val="clear" w:color="auto" w:fill="FFFFFF"/>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签证中心</w:t>
      </w:r>
      <w:r>
        <w:rPr>
          <w:rFonts w:hint="eastAsia" w:asciiTheme="minorEastAsia" w:hAnsiTheme="minorEastAsia" w:cstheme="minorEastAsia"/>
          <w:color w:val="000000" w:themeColor="text1"/>
          <w:sz w:val="28"/>
          <w:szCs w:val="28"/>
          <w:shd w:val="clear" w:color="auto" w:fill="FFFFFF"/>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的一切责任。</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衷心感谢您的理解与支持！</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p>
    <w:p>
      <w:pPr>
        <w:spacing w:line="360" w:lineRule="auto"/>
        <w:ind w:firstLine="560" w:firstLineChars="20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spacing w:line="360" w:lineRule="auto"/>
        <w:ind w:firstLine="0" w:firstLineChars="0"/>
        <w:jc w:val="center"/>
        <w:rPr>
          <w:rFonts w:hint="eastAsia" w:asciiTheme="minorEastAsia" w:hAnsiTheme="minorEastAsia" w:eastAsiaTheme="minorEastAsia" w:cstheme="minorEastAsia"/>
          <w:sz w:val="28"/>
          <w:szCs w:val="28"/>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F707CB"/>
    <w:multiLevelType w:val="singleLevel"/>
    <w:tmpl w:val="BFF707CB"/>
    <w:lvl w:ilvl="0" w:tentative="0">
      <w:start w:val="2"/>
      <w:numFmt w:val="chineseCounting"/>
      <w:suff w:val="nothing"/>
      <w:lvlText w:val="%1、"/>
      <w:lvlJc w:val="left"/>
      <w:rPr>
        <w:rFonts w:hint="eastAsia"/>
      </w:rPr>
    </w:lvl>
  </w:abstractNum>
  <w:abstractNum w:abstractNumId="1">
    <w:nsid w:val="33ECCC99"/>
    <w:multiLevelType w:val="singleLevel"/>
    <w:tmpl w:val="33ECCC99"/>
    <w:lvl w:ilvl="0" w:tentative="0">
      <w:start w:val="1"/>
      <w:numFmt w:val="chineseCounting"/>
      <w:suff w:val="nothing"/>
      <w:lvlText w:val="（%1）"/>
      <w:lvlJc w:val="left"/>
      <w:pPr>
        <w:ind w:left="567" w:firstLine="0"/>
      </w:pPr>
      <w:rPr>
        <w:rFonts w:hint="eastAsia"/>
      </w:rPr>
    </w:lvl>
  </w:abstractNum>
  <w:abstractNum w:abstractNumId="2">
    <w:nsid w:val="34FFD1B1"/>
    <w:multiLevelType w:val="singleLevel"/>
    <w:tmpl w:val="34FFD1B1"/>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B3D19"/>
    <w:rsid w:val="0016488A"/>
    <w:rsid w:val="003311E5"/>
    <w:rsid w:val="003F3B89"/>
    <w:rsid w:val="004D5E9E"/>
    <w:rsid w:val="00924420"/>
    <w:rsid w:val="00BE743A"/>
    <w:rsid w:val="00CA4F7A"/>
    <w:rsid w:val="02257310"/>
    <w:rsid w:val="06662D2D"/>
    <w:rsid w:val="0C5B3D19"/>
    <w:rsid w:val="0F036B0F"/>
    <w:rsid w:val="0F49425C"/>
    <w:rsid w:val="0FEB257B"/>
    <w:rsid w:val="1D7E4C5C"/>
    <w:rsid w:val="1DCF6A7A"/>
    <w:rsid w:val="2A3C1D4F"/>
    <w:rsid w:val="30AB7F1E"/>
    <w:rsid w:val="370165A1"/>
    <w:rsid w:val="37F80854"/>
    <w:rsid w:val="3AFBDD83"/>
    <w:rsid w:val="3DBF28AC"/>
    <w:rsid w:val="3E9C3135"/>
    <w:rsid w:val="3EBDE2A0"/>
    <w:rsid w:val="3F0155F3"/>
    <w:rsid w:val="4062394D"/>
    <w:rsid w:val="43E05AFE"/>
    <w:rsid w:val="4AE065F0"/>
    <w:rsid w:val="4E7BDE95"/>
    <w:rsid w:val="524659E1"/>
    <w:rsid w:val="52602D1E"/>
    <w:rsid w:val="5336783F"/>
    <w:rsid w:val="538978A9"/>
    <w:rsid w:val="57CF63F1"/>
    <w:rsid w:val="57FF540A"/>
    <w:rsid w:val="59B7014E"/>
    <w:rsid w:val="5CFF5EBF"/>
    <w:rsid w:val="5DFEEB96"/>
    <w:rsid w:val="5E881CD6"/>
    <w:rsid w:val="5EFA7CCD"/>
    <w:rsid w:val="5F716CC3"/>
    <w:rsid w:val="5F7B830F"/>
    <w:rsid w:val="62CF2739"/>
    <w:rsid w:val="64402CD7"/>
    <w:rsid w:val="67DE857A"/>
    <w:rsid w:val="6B1D9144"/>
    <w:rsid w:val="6BAF9F61"/>
    <w:rsid w:val="6BF690E0"/>
    <w:rsid w:val="6BF76B89"/>
    <w:rsid w:val="6E2D4B0F"/>
    <w:rsid w:val="6EE33B0F"/>
    <w:rsid w:val="6EF2E430"/>
    <w:rsid w:val="6F9F178E"/>
    <w:rsid w:val="6FDD3A5E"/>
    <w:rsid w:val="737E05B6"/>
    <w:rsid w:val="73DF007C"/>
    <w:rsid w:val="75890884"/>
    <w:rsid w:val="790230D7"/>
    <w:rsid w:val="7B7A0BDC"/>
    <w:rsid w:val="7DF6F706"/>
    <w:rsid w:val="7EF2332E"/>
    <w:rsid w:val="7EFB9148"/>
    <w:rsid w:val="7F5B385B"/>
    <w:rsid w:val="7F5F9F22"/>
    <w:rsid w:val="7F7D58EC"/>
    <w:rsid w:val="7F7D815B"/>
    <w:rsid w:val="7FBB71BF"/>
    <w:rsid w:val="7FC75415"/>
    <w:rsid w:val="7FDC0BB2"/>
    <w:rsid w:val="7FEB9AA4"/>
    <w:rsid w:val="7FED203E"/>
    <w:rsid w:val="7FF5DDFC"/>
    <w:rsid w:val="7FFD48CB"/>
    <w:rsid w:val="8B7FCE83"/>
    <w:rsid w:val="9D4B5CFF"/>
    <w:rsid w:val="9DF49B57"/>
    <w:rsid w:val="AD6F7D26"/>
    <w:rsid w:val="B6AB736F"/>
    <w:rsid w:val="B9BD082F"/>
    <w:rsid w:val="BA7B23C6"/>
    <w:rsid w:val="BABBD0A5"/>
    <w:rsid w:val="BF7E7912"/>
    <w:rsid w:val="BF9BF5EC"/>
    <w:rsid w:val="C6EE199A"/>
    <w:rsid w:val="CBCC3AFA"/>
    <w:rsid w:val="CEFC1D86"/>
    <w:rsid w:val="CFCF549E"/>
    <w:rsid w:val="CFDE6578"/>
    <w:rsid w:val="DAE77221"/>
    <w:rsid w:val="DDECC0F2"/>
    <w:rsid w:val="DEFF6125"/>
    <w:rsid w:val="DFDF50B9"/>
    <w:rsid w:val="EA5E8390"/>
    <w:rsid w:val="F1FE0AD5"/>
    <w:rsid w:val="F5DFA9D8"/>
    <w:rsid w:val="F5E44832"/>
    <w:rsid w:val="F5F9EA6B"/>
    <w:rsid w:val="F79B4594"/>
    <w:rsid w:val="F7ABDFB8"/>
    <w:rsid w:val="F7DF3E94"/>
    <w:rsid w:val="F7E77FE3"/>
    <w:rsid w:val="F7EA50F4"/>
    <w:rsid w:val="F7F3160F"/>
    <w:rsid w:val="F9E6A9E3"/>
    <w:rsid w:val="FBEEA59E"/>
    <w:rsid w:val="FD0FC61A"/>
    <w:rsid w:val="FDF62035"/>
    <w:rsid w:val="FE734873"/>
    <w:rsid w:val="FE9B4E07"/>
    <w:rsid w:val="FF73BFCA"/>
    <w:rsid w:val="FF9F7732"/>
    <w:rsid w:val="FF9FCD70"/>
    <w:rsid w:val="FFC61EFA"/>
    <w:rsid w:val="FFEFB6E8"/>
    <w:rsid w:val="FFF4A61E"/>
    <w:rsid w:val="FFFBB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186</Words>
  <Characters>1063</Characters>
  <Lines>8</Lines>
  <Paragraphs>2</Paragraphs>
  <TotalTime>6</TotalTime>
  <ScaleCrop>false</ScaleCrop>
  <LinksUpToDate>false</LinksUpToDate>
  <CharactersWithSpaces>1247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2021-03-20T15:59:00Z</dcterms:created>
  <dc:creator>wendy</dc:creator>
  <cp:lastModifiedBy>ShiYongRen</cp:lastModifiedBy>
  <cp:lastPrinted>2022-01-20T15:23:00Z</cp:lastPrinted>
  <dcterms:modified xsi:type="dcterms:W3CDTF">2023-09-21T09:38:37Z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